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Граждане теперь могут запретить перевод своих пенсионных накоплений, а посредников не подпустят к ним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Две важные новости для владельцев пенсионных накоплений: граждане теперь могут установить запрет на перевод  своих пенсионных накоплений к другому страховщику (им может быть как ПФР, так и НПФ) через портал госуслуг, а НПФам запретили привлекать посредников для работы с пенсионными накоплениями граждан. </w:t>
      </w:r>
      <w:r>
        <w:rPr>
          <w:b/>
          <w:i/>
          <w:sz w:val="26"/>
          <w:szCs w:val="26"/>
        </w:rPr>
        <w:t>Нововведения направлены на то, чтобы дополнительно защитить права граждан и обезопасить их от неправомерного перевода средств.</w:t>
      </w:r>
      <w:r>
        <w:rPr/>
        <w:t xml:space="preserve"> </w:t>
      </w:r>
    </w:p>
    <w:p>
      <w:pPr>
        <w:pStyle w:val="NoSpacing"/>
        <w:ind w:firstLine="567"/>
        <w:jc w:val="both"/>
        <w:rPr>
          <w:b/>
          <w:b/>
          <w:i/>
          <w:i/>
          <w:sz w:val="12"/>
          <w:szCs w:val="12"/>
          <w:lang w:eastAsia="ru-RU"/>
        </w:rPr>
      </w:pPr>
      <w:r>
        <w:rPr>
          <w:b/>
          <w:i/>
          <w:sz w:val="12"/>
          <w:szCs w:val="12"/>
          <w:lang w:eastAsia="ru-RU"/>
        </w:rPr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Президентом РФ  подписан Федеральный закон, направленный на защиту прав граждан при переводе средств пенсионных накоплений* от одного страховщика к другому. Закон устанавливает, что гражданин может воспользоваться правом на запрет рассмотрения заявлений о переходе к другому страховщику, поданного любым способом, за исключением подачи гражданином ЛИЧНО. То есть, если такое заявление вдруг потупит в ПФР через портал госуслуг, оно не будет рассмотрено, ведь гражданин сообщил в ПФР о том, что он намерен подавать такое заявление только лично в Пенсионный фонд. Владелец пенсионных накоплений при желании сможет снять такой запрет, также подав соответствующее уведомление в ПФР. Таким образом «фантомные» заявления в отношении этих граждан будут исключены. Каждый владелец пенсионных накоплений может воспользоваться этим правом на запрет.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Установлены формы уведомлений о запрете и об отзыве запрета. Данные уведомления подаются гражданином в территориальный орган ПФР лично или через представителя, действующего на основании нотариально удостоверенной доверенности.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Также Законом устанавливается запрет на привлечение негосударственным пенсионным фондом посредников для заключения договора об обязательном пенсионном страховании. Это связано с недобросовестной деятельностью ряда агентов (посредников) при работе с пенсионными накоплениями граждан. Теперь НПФы должны напрямую работать с клиентами по вопросам заключения договоров и перевода средств пенсионных накоплений в рамках обязательного пенсионного страхования.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Напомним, что в настоящее время гражданин может менять пенсионный фонд, управляющий его пенсионными накоплениями (ПФР или НПФ) один раз в пять лет без потери инвестиционного дохода. Заявление о переводе можно подать лично в клиентской службе ПФР либо через Личный кабинет на портале госуслуг с использованием усиленной квалифицированной подписи. Если это происходит досрочно, то накопленный с момента предыдущего перехода или последней пятилетней фиксации доход теряется. </w:t>
      </w:r>
    </w:p>
    <w:p>
      <w:pPr>
        <w:pStyle w:val="NoSpacing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Узнать, кто является страховщиком Ваших пенсионных накоплений можно в Личном кабинете на портале госуслуг или сайте ПФР, где можно заказать выписку о состоянии индивидуального лицевого счета. В ней есть вся информация о том, кто управляет Вашими накоплениями, а также указана сумма дохода от инвестирования. </w:t>
      </w:r>
    </w:p>
    <w:p>
      <w:pPr>
        <w:pStyle w:val="NoSpacing"/>
        <w:ind w:firstLine="567"/>
        <w:jc w:val="both"/>
        <w:rPr>
          <w:sz w:val="10"/>
          <w:szCs w:val="10"/>
          <w:lang w:eastAsia="ru-RU"/>
        </w:rPr>
      </w:pPr>
      <w:r>
        <w:rPr>
          <w:sz w:val="10"/>
          <w:szCs w:val="10"/>
          <w:lang w:eastAsia="ru-RU"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>
          <w:i/>
          <w:i/>
          <w:color w:val="000000"/>
          <w:sz w:val="26"/>
          <w:szCs w:val="26"/>
        </w:rPr>
      </w:pPr>
      <w:r>
        <w:rPr>
          <w:i/>
          <w:sz w:val="26"/>
          <w:szCs w:val="26"/>
          <w:lang w:eastAsia="ru-RU"/>
        </w:rPr>
        <w:t>*</w:t>
      </w:r>
      <w:r>
        <w:rPr>
          <w:i/>
        </w:rPr>
        <w:t xml:space="preserve"> </w:t>
      </w:r>
      <w:r>
        <w:rPr>
          <w:i/>
          <w:color w:val="000000"/>
          <w:sz w:val="26"/>
          <w:szCs w:val="26"/>
        </w:rPr>
        <w:t xml:space="preserve">Владельцами пенсионных накоплений могут являться: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  <w:tab w:val="left" w:pos="142" w:leader="none"/>
        </w:tabs>
        <w:suppressAutoHyphens w:val="false"/>
        <w:ind w:left="0" w:firstLine="709"/>
        <w:jc w:val="both"/>
        <w:rPr>
          <w:i/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граждане 1967 года рождения и моложе, за которых работодатель отчислял страховые взносы на накопительную пенсию,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  <w:tab w:val="left" w:pos="142" w:leader="none"/>
        </w:tabs>
        <w:suppressAutoHyphens w:val="false"/>
        <w:ind w:left="0" w:firstLine="709"/>
        <w:jc w:val="both"/>
        <w:rPr>
          <w:i/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>мужчины 1953-1966 г. р. и женщины 1957-1966г.р., за которых с 2002г. по 2004г. работодателем производились отчисления на накопительную часть пенсии,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  <w:tab w:val="left" w:pos="142" w:leader="none"/>
        </w:tabs>
        <w:suppressAutoHyphens w:val="false"/>
        <w:ind w:left="0" w:firstLine="709"/>
        <w:jc w:val="both"/>
        <w:rPr>
          <w:i/>
          <w:i/>
          <w:sz w:val="26"/>
          <w:szCs w:val="26"/>
        </w:rPr>
      </w:pPr>
      <w:r>
        <w:rPr>
          <w:i/>
          <w:sz w:val="26"/>
          <w:szCs w:val="26"/>
          <w:shd w:fill="FFFFFF" w:val="clear"/>
        </w:rPr>
        <w:t>участники Программы государственного софинансирования пенсий</w:t>
      </w:r>
      <w:r>
        <w:rPr>
          <w:i/>
          <w:color w:val="000000"/>
          <w:sz w:val="26"/>
          <w:szCs w:val="26"/>
        </w:rPr>
        <w:t xml:space="preserve">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  <w:tab w:val="left" w:pos="142" w:leader="none"/>
        </w:tabs>
        <w:suppressAutoHyphens w:val="false"/>
        <w:ind w:left="0" w:firstLine="709"/>
        <w:jc w:val="both"/>
        <w:rPr>
          <w:i/>
          <w:i/>
          <w:sz w:val="26"/>
          <w:szCs w:val="26"/>
        </w:rPr>
      </w:pPr>
      <w:r>
        <w:rPr>
          <w:b w:val="false"/>
          <w:bCs w:val="false"/>
          <w:i/>
          <w:color w:val="000000"/>
          <w:sz w:val="26"/>
          <w:szCs w:val="26"/>
        </w:rPr>
        <w:t>владельцы сертификатов на материнский (семейный) капитала, которые направили средства МСК на формирование накопительной пенсии</w:t>
      </w:r>
      <w:r>
        <w:rPr>
          <w:b/>
          <w:i/>
          <w:color w:val="000000"/>
          <w:sz w:val="26"/>
          <w:szCs w:val="26"/>
        </w:rPr>
        <w:t>.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2</Pages>
  <Words>450</Words>
  <Characters>3014</Characters>
  <CharactersWithSpaces>3459</CharactersWithSpaces>
  <Paragraphs>14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2021-04-15T18:17:15Z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