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Spacing"/>
        <w:ind w:firstLine="567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Улучшение жилищных условий с использованием МСК – быстрее и проще </w:t>
      </w:r>
    </w:p>
    <w:p>
      <w:pPr>
        <w:pStyle w:val="NoSpacing"/>
        <w:ind w:firstLine="567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Spacing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Новосибирцы могут быстрее и проще распорядиться средствами материнского (семейного) капитала на улучшение жилищных условий без визита в ПФР.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  <w:lang w:eastAsia="ru-RU"/>
        </w:rPr>
      </w:pPr>
      <w:r>
        <w:rPr>
          <w:b/>
          <w:i/>
          <w:sz w:val="16"/>
          <w:szCs w:val="16"/>
          <w:lang w:eastAsia="ru-RU"/>
        </w:rPr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 сегодняшний день значительно упрощено распоряжение средствами материнского (семейного) капитала на улучшение жилищных условий. Так, при подаче в электронном виде заявления о распоряжении средствами (частью средств) материнского капитала на улучшение жилищных условий представлять дополнительные документы не требуется, поскольку необходимые сведения специалисты ПФР запросят самостоятельно в рамках межведомственного взаимодействия</w:t>
      </w:r>
      <w:bookmarkStart w:id="0" w:name="_GoBack"/>
      <w:bookmarkEnd w:id="0"/>
      <w:r>
        <w:rPr>
          <w:sz w:val="26"/>
          <w:szCs w:val="26"/>
          <w:lang w:eastAsia="ru-RU"/>
        </w:rPr>
        <w:t>. Например, сведения из договора купли-продажи, договора участия в долевом строительстве будут получены посредством взаимодействия с Росреестром.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Также Отделением ПФР по Новосибирской области заключены соглашения с 22 кредитными организациями, в том числе с Дом РФ, при этом электронный обмен активно осуществляется с банками «ВТБ», «Сбербанк», «Россельхозбанк», «Левобережный», «Уралсиб» и «НООСФЕРА». Они обладают сетью филиалов и предоставляют семьям кредиты с государственной поддержкой.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Такое взаимодействие позволяет ускорить процесс распоряжения средствами материнского капитала на погашение кредитов, так как граждане могут подать соответствующее заявление непосредственно в банке, в котором открывается кредит. То есть вместо двух обращений – в банк и Пенсионный фонд – семье достаточно обратиться только в банк, с которым заключено соответствующее соглашение, где одновременно оформляется кредит и подается заявление на погашение кредита или уплату первого взноса. Затем банк уже направляет заявление с необходимыми документами в территориальный орган ПФР для принятия решения. </w:t>
      </w:r>
    </w:p>
    <w:p>
      <w:pPr>
        <w:pStyle w:val="NoSpacing"/>
        <w:ind w:firstLine="567"/>
        <w:jc w:val="both"/>
        <w:rPr>
          <w:sz w:val="12"/>
          <w:szCs w:val="12"/>
          <w:lang w:eastAsia="ru-RU"/>
        </w:rPr>
      </w:pPr>
      <w:r>
        <w:rPr>
          <w:sz w:val="12"/>
          <w:szCs w:val="12"/>
          <w:lang w:eastAsia="ru-RU"/>
        </w:rPr>
      </w:r>
    </w:p>
    <w:p>
      <w:pPr>
        <w:pStyle w:val="NoSpacing"/>
        <w:ind w:firstLine="567"/>
        <w:jc w:val="both"/>
        <w:rPr>
          <w:b w:val="false"/>
          <w:b w:val="false"/>
          <w:bCs w:val="false"/>
          <w:i w:val="false"/>
          <w:i w:val="false"/>
          <w:iCs w:val="false"/>
          <w:sz w:val="26"/>
          <w:szCs w:val="26"/>
        </w:rPr>
      </w:pPr>
      <w:r>
        <w:rPr>
          <w:b w:val="false"/>
          <w:bCs w:val="false"/>
          <w:i w:val="false"/>
          <w:iCs w:val="false"/>
          <w:sz w:val="26"/>
          <w:szCs w:val="26"/>
          <w:lang w:eastAsia="ru-RU"/>
        </w:rPr>
        <w:t xml:space="preserve">Начиная с июня 2020 года, свыше 800 новосибирцев уже улучшили жилищные условия семьи с использованием средств материнского капитала, подав соответствующее заявление через банк.  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248</Words>
  <Characters>1775</Characters>
  <CharactersWithSpaces>2024</CharactersWithSpaces>
  <Paragraphs>8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2021-03-01T15:36:27Z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