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AD" w:rsidRDefault="00840C2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9125" cy="800100"/>
            <wp:effectExtent l="0" t="0" r="0" b="0"/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BAD" w:rsidRDefault="00840C25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 РАЙОНА</w:t>
      </w:r>
    </w:p>
    <w:p w:rsidR="00483BAD" w:rsidRDefault="00840C25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483BAD" w:rsidRDefault="00483BAD">
      <w:pPr>
        <w:spacing w:before="120" w:after="120"/>
        <w:jc w:val="center"/>
        <w:rPr>
          <w:b/>
          <w:sz w:val="28"/>
          <w:szCs w:val="28"/>
        </w:rPr>
      </w:pPr>
    </w:p>
    <w:p w:rsidR="00483BAD" w:rsidRDefault="00840C25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83BAD" w:rsidRDefault="00840C25">
      <w:pPr>
        <w:jc w:val="center"/>
      </w:pPr>
      <w:r>
        <w:t>г. Каргат</w:t>
      </w:r>
    </w:p>
    <w:p w:rsidR="00483BAD" w:rsidRDefault="00840C25">
      <w:pPr>
        <w:jc w:val="center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83BAD" w:rsidRDefault="00840C25">
      <w:pPr>
        <w:tabs>
          <w:tab w:val="left" w:pos="973"/>
        </w:tabs>
        <w:rPr>
          <w:sz w:val="26"/>
          <w:szCs w:val="26"/>
        </w:rPr>
      </w:pPr>
      <w:r>
        <w:rPr>
          <w:color w:val="FFFFFF"/>
          <w:sz w:val="26"/>
          <w:szCs w:val="26"/>
        </w:rPr>
        <w:tab/>
      </w:r>
    </w:p>
    <w:p w:rsidR="00483BAD" w:rsidRDefault="00840C25">
      <w:pPr>
        <w:tabs>
          <w:tab w:val="left" w:pos="973"/>
        </w:tabs>
        <w:rPr>
          <w:sz w:val="26"/>
          <w:szCs w:val="26"/>
        </w:rPr>
      </w:pPr>
      <w:r>
        <w:rPr>
          <w:color w:val="F2F2F2"/>
        </w:rPr>
        <w:t xml:space="preserve"> </w:t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93695" cy="25209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2F2F2"/>
        </w:rPr>
        <w:t xml:space="preserve">  </w:t>
      </w:r>
      <w:r>
        <w:rPr>
          <w:color w:val="FFFFFF"/>
          <w:sz w:val="26"/>
          <w:szCs w:val="26"/>
        </w:rPr>
        <w:tab/>
      </w:r>
    </w:p>
    <w:p w:rsidR="00483BAD" w:rsidRDefault="00483BAD">
      <w:pPr>
        <w:tabs>
          <w:tab w:val="left" w:pos="973"/>
        </w:tabs>
        <w:rPr>
          <w:sz w:val="26"/>
          <w:szCs w:val="26"/>
        </w:rPr>
      </w:pPr>
    </w:p>
    <w:p w:rsidR="00483BAD" w:rsidRDefault="00840C2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утверждении Единой учетной политики</w:t>
      </w:r>
    </w:p>
    <w:p w:rsidR="00483BAD" w:rsidRDefault="00483BAD">
      <w:pPr>
        <w:ind w:firstLine="709"/>
        <w:jc w:val="both"/>
        <w:rPr>
          <w:sz w:val="28"/>
          <w:szCs w:val="28"/>
        </w:rPr>
      </w:pPr>
    </w:p>
    <w:p w:rsidR="00483BAD" w:rsidRDefault="00840C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3 Общих требований к передаче Федеральному казначейству, финансовому органу субъекта Российской Федерации, финансовому органу муниципального образования полномочий соответственно федеральных органов исполнительной власти, органов исполн</w:t>
      </w:r>
      <w:r>
        <w:rPr>
          <w:sz w:val="28"/>
          <w:szCs w:val="28"/>
        </w:rPr>
        <w:t>ительной власти субъектов Российской Федерации, органов местной администрации (их территориальных органов, подведомственных казенных учреждений) по начислению физическим лицам выплат по оплате труда и иных выплат, а также связанных с ними обязательных плат</w:t>
      </w:r>
      <w:r>
        <w:rPr>
          <w:sz w:val="28"/>
          <w:szCs w:val="28"/>
        </w:rPr>
        <w:t>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бюджетных и автономных учреждений, иной обязательной отчетности, фо</w:t>
      </w:r>
      <w:r>
        <w:rPr>
          <w:sz w:val="28"/>
          <w:szCs w:val="28"/>
        </w:rPr>
        <w:t xml:space="preserve">рмируемой на основании данных бюджетного учета, по обеспечению представления такой отчетности в соответствующие государственные (муниципальные) органы, утвержденных постановлением Правительства Российской Федерации от 27.12.2019  № 1890, пункта 14 приказа </w:t>
      </w:r>
      <w:r>
        <w:rPr>
          <w:sz w:val="28"/>
          <w:szCs w:val="28"/>
        </w:rPr>
        <w:t>Министерства финансов Российской Федерации от 31.12.2016  № 256н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</w:t>
      </w:r>
      <w:r>
        <w:rPr>
          <w:sz w:val="28"/>
          <w:szCs w:val="28"/>
        </w:rPr>
        <w:t>ора", постановления администрации Каргатского района от 10.02.2023 № 70/82-п «О передаче администрации Каргатского района отдельных бюджетных полномочий муниципальных учреждений и органов местного самоуправления Каргатского района Новосибирской области» (д</w:t>
      </w:r>
      <w:r>
        <w:rPr>
          <w:sz w:val="28"/>
          <w:szCs w:val="28"/>
        </w:rPr>
        <w:t xml:space="preserve">алее - постановление от 10.02.2023 № 70/82-п), администрация Каргатского района Новосибирской области </w:t>
      </w:r>
      <w:r>
        <w:rPr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83BAD" w:rsidRDefault="00840C25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1.Утвердить Единую учетную политику при централизации бюджетного (бухгалтерского) учёта, согласно приложению.</w:t>
      </w:r>
    </w:p>
    <w:p w:rsidR="00483BAD" w:rsidRDefault="00840C25">
      <w:pPr>
        <w:widowControl w:val="0"/>
        <w:tabs>
          <w:tab w:val="left" w:pos="709"/>
        </w:tabs>
        <w:spacing w:before="9" w:line="247" w:lineRule="auto"/>
        <w:ind w:right="10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>2.</w:t>
      </w:r>
      <w:r>
        <w:rPr>
          <w:color w:val="1A1A1A"/>
          <w:w w:val="105"/>
          <w:sz w:val="28"/>
          <w:szCs w:val="28"/>
        </w:rPr>
        <w:t xml:space="preserve"> Установить, что Единая уче</w:t>
      </w:r>
      <w:r>
        <w:rPr>
          <w:color w:val="1A1A1A"/>
          <w:w w:val="105"/>
          <w:sz w:val="28"/>
          <w:szCs w:val="28"/>
        </w:rPr>
        <w:t>тная политика при централизации бюджетного</w:t>
      </w:r>
      <w:r>
        <w:rPr>
          <w:color w:val="1A1A1A"/>
          <w:spacing w:val="1"/>
          <w:w w:val="105"/>
          <w:sz w:val="28"/>
          <w:szCs w:val="28"/>
        </w:rPr>
        <w:t xml:space="preserve"> </w:t>
      </w:r>
      <w:r>
        <w:rPr>
          <w:color w:val="1A1A1A"/>
          <w:w w:val="105"/>
          <w:sz w:val="28"/>
          <w:szCs w:val="28"/>
        </w:rPr>
        <w:t>(бухгалтерского) учета, подлежит применению</w:t>
      </w:r>
      <w:r>
        <w:rPr>
          <w:color w:val="1A1A1A"/>
          <w:spacing w:val="1"/>
          <w:w w:val="105"/>
          <w:sz w:val="28"/>
          <w:szCs w:val="28"/>
        </w:rPr>
        <w:t xml:space="preserve"> </w:t>
      </w:r>
      <w:r>
        <w:rPr>
          <w:color w:val="1A1A1A"/>
          <w:w w:val="105"/>
          <w:sz w:val="28"/>
          <w:szCs w:val="28"/>
        </w:rPr>
        <w:t>органами местного самоуправления и муниципальными казенными учреждениями</w:t>
      </w:r>
      <w:r>
        <w:rPr>
          <w:color w:val="1A1A1A"/>
          <w:spacing w:val="1"/>
          <w:w w:val="105"/>
          <w:sz w:val="28"/>
          <w:szCs w:val="28"/>
        </w:rPr>
        <w:t xml:space="preserve"> Каргатского </w:t>
      </w:r>
      <w:r>
        <w:rPr>
          <w:color w:val="1A1A1A"/>
          <w:spacing w:val="1"/>
          <w:w w:val="105"/>
          <w:sz w:val="28"/>
          <w:szCs w:val="28"/>
        </w:rPr>
        <w:lastRenderedPageBreak/>
        <w:t>района</w:t>
      </w:r>
      <w:r>
        <w:rPr>
          <w:color w:val="444444"/>
          <w:w w:val="105"/>
          <w:sz w:val="28"/>
          <w:szCs w:val="28"/>
        </w:rPr>
        <w:t>,</w:t>
      </w:r>
      <w:r>
        <w:rPr>
          <w:color w:val="444444"/>
          <w:spacing w:val="1"/>
          <w:w w:val="105"/>
          <w:sz w:val="28"/>
          <w:szCs w:val="28"/>
        </w:rPr>
        <w:t xml:space="preserve"> </w:t>
      </w:r>
      <w:r>
        <w:rPr>
          <w:spacing w:val="1"/>
          <w:w w:val="105"/>
          <w:sz w:val="28"/>
          <w:szCs w:val="28"/>
        </w:rPr>
        <w:t xml:space="preserve">в соответствии с перечнем </w:t>
      </w:r>
      <w:r>
        <w:rPr>
          <w:color w:val="444444"/>
          <w:spacing w:val="1"/>
          <w:w w:val="105"/>
          <w:sz w:val="28"/>
          <w:szCs w:val="28"/>
        </w:rPr>
        <w:t xml:space="preserve">и </w:t>
      </w:r>
      <w:r>
        <w:rPr>
          <w:spacing w:val="1"/>
          <w:w w:val="105"/>
          <w:sz w:val="28"/>
          <w:szCs w:val="28"/>
        </w:rPr>
        <w:t xml:space="preserve">сроками, </w:t>
      </w:r>
      <w:r>
        <w:rPr>
          <w:rFonts w:eastAsia="Calibri"/>
          <w:sz w:val="28"/>
          <w:szCs w:val="28"/>
          <w:lang w:eastAsia="en-US"/>
        </w:rPr>
        <w:t xml:space="preserve">указанными в приложении 1 и приложении 2 к постановлению от 10.02.2023 № 70/82-п. </w:t>
      </w:r>
    </w:p>
    <w:p w:rsidR="00483BAD" w:rsidRDefault="00840C25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Настоящее постановление вступает в силу с момента подписания и подлежит опубликованию в установленном законом порядке.</w:t>
      </w:r>
    </w:p>
    <w:p w:rsidR="00483BAD" w:rsidRDefault="00840C25">
      <w:pPr>
        <w:spacing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Контроль за исполнением настоящего постановления</w:t>
      </w:r>
      <w:r>
        <w:rPr>
          <w:rFonts w:eastAsia="Calibri"/>
          <w:sz w:val="28"/>
          <w:szCs w:val="28"/>
          <w:lang w:eastAsia="en-US"/>
        </w:rPr>
        <w:t xml:space="preserve"> возложить на заместителя главы администрации Каргатского района Новосибирской области Береснева И.М.</w:t>
      </w:r>
    </w:p>
    <w:p w:rsidR="00483BAD" w:rsidRDefault="00483BAD">
      <w:pPr>
        <w:ind w:firstLine="708"/>
        <w:rPr>
          <w:sz w:val="28"/>
          <w:szCs w:val="28"/>
        </w:rPr>
      </w:pPr>
    </w:p>
    <w:p w:rsidR="00483BAD" w:rsidRDefault="00483BAD">
      <w:pPr>
        <w:ind w:firstLine="708"/>
        <w:rPr>
          <w:sz w:val="28"/>
          <w:szCs w:val="28"/>
        </w:rPr>
      </w:pPr>
    </w:p>
    <w:p w:rsidR="00483BAD" w:rsidRDefault="00840C25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Каргатского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83BAD" w:rsidRDefault="00840C25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Флек</w:t>
      </w:r>
    </w:p>
    <w:p w:rsidR="00483BAD" w:rsidRDefault="00840C25">
      <w:pPr>
        <w:ind w:left="420"/>
        <w:contextualSpacing/>
        <w:jc w:val="center"/>
        <w:rPr>
          <w:color w:val="F2F2F2"/>
        </w:rPr>
      </w:pPr>
      <w:r>
        <w:rPr>
          <w:color w:val="F2F2F2"/>
        </w:rPr>
        <w:t xml:space="preserve"> </w:t>
      </w: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3246755" cy="136779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2F2F2"/>
        </w:rPr>
        <w:t xml:space="preserve"> </w:t>
      </w: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483BAD">
      <w:pPr>
        <w:ind w:left="420"/>
        <w:contextualSpacing/>
        <w:jc w:val="center"/>
        <w:rPr>
          <w:color w:val="F2F2F2"/>
        </w:rPr>
      </w:pPr>
    </w:p>
    <w:p w:rsidR="00483BAD" w:rsidRDefault="00840C25">
      <w:pPr>
        <w:pStyle w:val="a7"/>
        <w:ind w:left="0"/>
      </w:pPr>
      <w:r>
        <w:t>Береснев И.М.</w:t>
      </w:r>
    </w:p>
    <w:p w:rsidR="00483BAD" w:rsidRDefault="00840C25">
      <w:r>
        <w:t>21-569</w:t>
      </w:r>
      <w:r>
        <w:tab/>
      </w:r>
    </w:p>
    <w:sectPr w:rsidR="00483BAD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AD"/>
    <w:rsid w:val="00483BAD"/>
    <w:rsid w:val="0084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0B3CD-4E24-474F-A73F-385D63D5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74C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List Paragraph"/>
    <w:basedOn w:val="a"/>
    <w:uiPriority w:val="1"/>
    <w:qFormat/>
    <w:rsid w:val="00574C09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574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6E55B-7001-4E8F-97C1-71586EFB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USR300317</dc:creator>
  <dc:description/>
  <cp:lastModifiedBy>ELENA</cp:lastModifiedBy>
  <cp:revision>2</cp:revision>
  <cp:lastPrinted>2023-02-20T07:13:00Z</cp:lastPrinted>
  <dcterms:created xsi:type="dcterms:W3CDTF">2023-03-01T13:39:00Z</dcterms:created>
  <dcterms:modified xsi:type="dcterms:W3CDTF">2023-03-01T13:39:00Z</dcterms:modified>
  <dc:language>en-US</dc:language>
</cp:coreProperties>
</file>