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7"/>
        <w:ind w:left="3275" w:right="3277"/>
        <w:jc w:val="center"/>
      </w:pPr>
      <w:r>
        <w:rPr/>
        <w:t>Справочная информация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04" w:right="107" w:firstLine="708"/>
        <w:jc w:val="both"/>
      </w:pPr>
      <w:r>
        <w:rPr/>
        <w:t>Министерством природных ресурсов и экологии Новосибирской области 02.04.2025 с 10.00 до 13.00 на базе районной администрации в очном формате c применением ВКС будут проводиться общественные обсуждения предварительных материалов оценки воздействия на окружающую среду по материалам обоснования объемов (лимитов, квот) добычи охотничьих ресурсов: лося, косули сибирской, рыси, соболя, медведя бурого, барсука на территории Новосибирской области в сезоне охоты 2025-2026 г.г.</w:t>
      </w:r>
    </w:p>
    <w:sectPr>
      <w:type w:val="continuous"/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Полиенко Михаил Евгеньевич</dc:creator>
  <dcterms:created xsi:type="dcterms:W3CDTF">2025-03-11T01:02:32Z</dcterms:created>
  <dcterms:modified xsi:type="dcterms:W3CDTF">2025-03-11T01:02:32Z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2025-03-07T00:00:00Z</vt:filetime>
  </property>
</Properties>
</file>